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《锂离</w:t>
      </w:r>
      <w:bookmarkStart w:id="0" w:name="_GoBack"/>
      <w:r>
        <w:rPr>
          <w:rFonts w:hint="eastAsia" w:ascii="黑体" w:hAnsi="黑体" w:eastAsia="黑体"/>
          <w:sz w:val="36"/>
        </w:rPr>
        <w:t>子电池用石墨烯</w:t>
      </w:r>
      <w:bookmarkEnd w:id="0"/>
      <w:r>
        <w:rPr>
          <w:rFonts w:hint="eastAsia" w:ascii="黑体" w:hAnsi="黑体" w:eastAsia="黑体"/>
          <w:sz w:val="36"/>
        </w:rPr>
        <w:t xml:space="preserve">导电浆料》团体标准 </w:t>
      </w:r>
      <w:r>
        <w:rPr>
          <w:rFonts w:ascii="黑体" w:hAnsi="黑体" w:eastAsia="黑体"/>
          <w:sz w:val="36"/>
        </w:rPr>
        <w:t xml:space="preserve"> </w:t>
      </w:r>
      <w:r>
        <w:rPr>
          <w:rFonts w:hint="eastAsia" w:ascii="黑体" w:hAnsi="黑体" w:eastAsia="黑体"/>
          <w:sz w:val="36"/>
        </w:rPr>
        <w:t>征求意见汇总处理表</w:t>
      </w:r>
    </w:p>
    <w:p>
      <w:pPr>
        <w:jc w:val="righ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时间：2</w:t>
      </w:r>
      <w:r>
        <w:rPr>
          <w:rFonts w:ascii="黑体" w:hAnsi="黑体" w:eastAsia="黑体"/>
          <w:sz w:val="28"/>
        </w:rPr>
        <w:t>0</w:t>
      </w:r>
      <w:r>
        <w:rPr>
          <w:rFonts w:hint="eastAsia" w:ascii="黑体" w:hAnsi="黑体" w:eastAsia="黑体"/>
          <w:sz w:val="28"/>
        </w:rPr>
        <w:t>XX年XX月</w:t>
      </w:r>
      <w:r>
        <w:rPr>
          <w:rFonts w:ascii="黑体" w:hAnsi="黑体" w:eastAsia="黑体"/>
          <w:sz w:val="28"/>
        </w:rPr>
        <w:t>XX</w:t>
      </w:r>
      <w:r>
        <w:rPr>
          <w:rFonts w:hint="eastAsia" w:ascii="黑体" w:hAnsi="黑体" w:eastAsia="黑体"/>
          <w:sz w:val="28"/>
        </w:rPr>
        <w:t>日</w:t>
      </w:r>
    </w:p>
    <w:tbl>
      <w:tblPr>
        <w:tblStyle w:val="6"/>
        <w:tblW w:w="14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977"/>
        <w:gridCol w:w="3361"/>
        <w:gridCol w:w="2952"/>
        <w:gridCol w:w="2302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章/条编号</w:t>
            </w:r>
          </w:p>
        </w:tc>
        <w:tc>
          <w:tcPr>
            <w:tcW w:w="336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295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修改建议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提出单位和联系人</w:t>
            </w: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004" w:type="dxa"/>
            <w:gridSpan w:val="6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说明：征求意见可通过定向征求相关企业意见，也可通过互联网广泛征求社会意见。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sectPr>
      <w:headerReference r:id="rId3" w:type="default"/>
      <w:pgSz w:w="16838" w:h="11906" w:orient="landscape"/>
      <w:pgMar w:top="1275" w:right="1440" w:bottom="1800" w:left="144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4"/>
      </w:rPr>
    </w:pPr>
    <w:r>
      <w:drawing>
        <wp:inline distT="0" distB="0" distL="0" distR="0">
          <wp:extent cx="767080" cy="358140"/>
          <wp:effectExtent l="0" t="0" r="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83" cy="37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      </w:t>
    </w:r>
    <w:r>
      <w:rPr>
        <w:rFonts w:ascii="黑体" w:hAnsi="黑体" w:eastAsia="黑体"/>
        <w:sz w:val="24"/>
      </w:rPr>
      <w:t xml:space="preserve">     </w:t>
    </w:r>
    <w:r>
      <w:rPr>
        <w:rFonts w:hint="eastAsia" w:ascii="黑体" w:hAnsi="黑体" w:eastAsia="黑体"/>
        <w:sz w:val="24"/>
      </w:rPr>
      <w:t>中关村华清石墨烯产业技术创新联盟团体标准 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76F7B"/>
    <w:rsid w:val="00276F7B"/>
    <w:rsid w:val="0040231D"/>
    <w:rsid w:val="00440D35"/>
    <w:rsid w:val="004C3104"/>
    <w:rsid w:val="00B702FD"/>
    <w:rsid w:val="00C44867"/>
    <w:rsid w:val="4D5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9</TotalTime>
  <ScaleCrop>false</ScaleCrop>
  <LinksUpToDate>false</LinksUpToDate>
  <CharactersWithSpaces>152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2019-01-03T16:27:00Z</dcterms:created>
  <dc:creator>SF Dai</dc:creator>
  <cp:lastModifiedBy>Administrator</cp:lastModifiedBy>
  <dcterms:modified xsi:type="dcterms:W3CDTF">2019-01-19T09:52:07Z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