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left"/>
        <w:rPr>
          <w:rFonts w:hint="eastAsia" w:eastAsia="等线 Light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eastAsia="zh-CN"/>
        </w:rPr>
        <w:t>二</w:t>
      </w:r>
    </w:p>
    <w:p>
      <w:pPr>
        <w:pStyle w:val="2"/>
      </w:pPr>
      <w:bookmarkStart w:id="0" w:name="_GoBack"/>
      <w:r>
        <w:rPr>
          <w:rFonts w:hint="eastAsia"/>
        </w:rPr>
        <w:t>参与标准研制单位申请表</w:t>
      </w:r>
      <w:bookmarkEnd w:id="0"/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67"/>
        <w:gridCol w:w="1984"/>
        <w:gridCol w:w="1559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5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6741" w:type="dxa"/>
            <w:gridSpan w:val="4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拟参与标准名称</w:t>
            </w:r>
          </w:p>
        </w:tc>
        <w:tc>
          <w:tcPr>
            <w:tcW w:w="67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可投入标准研制人员数量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6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63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96" w:type="dxa"/>
            <w:gridSpan w:val="5"/>
            <w:shd w:val="clear" w:color="auto" w:fill="00B050"/>
          </w:tcPr>
          <w:p>
            <w:pPr>
              <w:rPr>
                <w:rFonts w:ascii="仿宋" w:hAnsi="仿宋" w:eastAsia="仿宋"/>
                <w:b/>
                <w:color w:val="FFFFFF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FFFF"/>
                <w:sz w:val="24"/>
              </w:rPr>
              <w:t>参与测试方法的相关条件：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296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仪器设备：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296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工作基础：（是否有相关的企业标准，可否可供测试样品）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296" w:type="dxa"/>
            <w:gridSpan w:val="5"/>
            <w:shd w:val="clear" w:color="auto" w:fill="00B050"/>
          </w:tcPr>
          <w:p>
            <w:pPr>
              <w:rPr>
                <w:rFonts w:ascii="仿宋" w:hAnsi="仿宋" w:eastAsia="仿宋"/>
                <w:b/>
                <w:color w:val="FFFFFF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FFFF"/>
                <w:sz w:val="24"/>
              </w:rPr>
              <w:t>参与产品标准的相关条件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296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企业内部相关产品的主要特征和性能参数：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8296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是否有销售和示范应用案例：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296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工作基础：（是否有相关的企业标准，可否提供样品）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444B3"/>
    <w:rsid w:val="18C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2018-10-24T07:00:00Z</dcterms:created>
  <dc:creator>纳米恒星</dc:creator>
  <cp:lastModifiedBy>纳米恒星</cp:lastModifiedBy>
  <dcterms:modified xsi:type="dcterms:W3CDTF">2018-10-24T07:01:23Z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